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40D1D" w14:textId="77777777" w:rsidR="00B87EBC" w:rsidRDefault="00B87EBC" w:rsidP="00B87EBC">
      <w:pPr>
        <w:jc w:val="center"/>
      </w:pPr>
      <w:bookmarkStart w:id="0" w:name="_GoBack"/>
      <w:bookmarkEnd w:id="0"/>
      <w:r>
        <w:t>Intermunicipal Collaboration Framework</w:t>
      </w:r>
    </w:p>
    <w:p w14:paraId="58A7E8E6" w14:textId="77777777" w:rsidR="0018104D" w:rsidRDefault="0018104D" w:rsidP="00B87EBC">
      <w:pPr>
        <w:jc w:val="center"/>
      </w:pPr>
      <w:r>
        <w:t>between</w:t>
      </w:r>
    </w:p>
    <w:p w14:paraId="3C9EB7D1" w14:textId="77777777" w:rsidR="00B87EBC" w:rsidRDefault="00B87EBC" w:rsidP="00B87EBC">
      <w:pPr>
        <w:jc w:val="center"/>
      </w:pPr>
      <w:r>
        <w:t>Strathcona County</w:t>
      </w:r>
    </w:p>
    <w:p w14:paraId="2FFE94DC" w14:textId="77777777" w:rsidR="00B87EBC" w:rsidRDefault="00B87EBC" w:rsidP="00B87EBC">
      <w:pPr>
        <w:jc w:val="center"/>
      </w:pPr>
      <w:r>
        <w:t>And</w:t>
      </w:r>
    </w:p>
    <w:p w14:paraId="54A17DC8" w14:textId="4F641680" w:rsidR="00B87EBC" w:rsidRDefault="00D371A6" w:rsidP="00B87EBC">
      <w:pPr>
        <w:jc w:val="center"/>
      </w:pPr>
      <w:r>
        <w:t>Beaver County</w:t>
      </w:r>
    </w:p>
    <w:p w14:paraId="526354E5" w14:textId="77777777" w:rsidR="00B265F2" w:rsidRPr="007B5402" w:rsidRDefault="00B265F2">
      <w:pPr>
        <w:rPr>
          <w:b/>
          <w:bCs/>
        </w:rPr>
      </w:pPr>
      <w:r w:rsidRPr="007B5402">
        <w:rPr>
          <w:b/>
          <w:bCs/>
        </w:rPr>
        <w:t>Definitions</w:t>
      </w:r>
    </w:p>
    <w:p w14:paraId="47BCBCF8" w14:textId="77777777" w:rsidR="00B265F2" w:rsidRDefault="00B265F2" w:rsidP="00B265F2">
      <w:pPr>
        <w:pStyle w:val="ListParagraph"/>
        <w:numPr>
          <w:ilvl w:val="0"/>
          <w:numId w:val="1"/>
        </w:numPr>
      </w:pPr>
      <w:r>
        <w:t>In this Framework;</w:t>
      </w:r>
    </w:p>
    <w:p w14:paraId="2EAA3F86" w14:textId="77777777" w:rsidR="00797756" w:rsidRDefault="00B265F2" w:rsidP="00797756">
      <w:pPr>
        <w:pStyle w:val="ListParagraph"/>
        <w:numPr>
          <w:ilvl w:val="1"/>
          <w:numId w:val="1"/>
        </w:numPr>
      </w:pPr>
      <w:r>
        <w:t>“CAO” means</w:t>
      </w:r>
      <w:r w:rsidR="00DB474F">
        <w:t xml:space="preserve"> the Chief Administrative Officer of a </w:t>
      </w:r>
      <w:r w:rsidR="00B87EBC">
        <w:t>M</w:t>
      </w:r>
      <w:r w:rsidR="00DB474F">
        <w:t xml:space="preserve">ember </w:t>
      </w:r>
      <w:r w:rsidR="00B87EBC">
        <w:t>M</w:t>
      </w:r>
      <w:r w:rsidR="00DB474F">
        <w:t>unicipality</w:t>
      </w:r>
      <w:r w:rsidR="00B87EBC">
        <w:t>;</w:t>
      </w:r>
    </w:p>
    <w:p w14:paraId="5453D1D1" w14:textId="77777777" w:rsidR="00B265F2" w:rsidRDefault="005B3673" w:rsidP="00B265F2">
      <w:pPr>
        <w:pStyle w:val="ListParagraph"/>
        <w:numPr>
          <w:ilvl w:val="1"/>
          <w:numId w:val="1"/>
        </w:numPr>
      </w:pPr>
      <w:r>
        <w:t>“Framework”</w:t>
      </w:r>
      <w:r w:rsidR="00DB474F">
        <w:t xml:space="preserve"> means this Intermunicipal Collaboration Framework between the </w:t>
      </w:r>
      <w:r w:rsidR="00B87EBC">
        <w:t>M</w:t>
      </w:r>
      <w:r w:rsidR="00DB474F">
        <w:t xml:space="preserve">ember </w:t>
      </w:r>
      <w:r w:rsidR="00B87EBC">
        <w:t>M</w:t>
      </w:r>
      <w:r w:rsidR="00DB474F">
        <w:t>unicipalities</w:t>
      </w:r>
      <w:r w:rsidR="00B87EBC">
        <w:t>;</w:t>
      </w:r>
    </w:p>
    <w:p w14:paraId="2EA52C79" w14:textId="3995C94E" w:rsidR="00797756" w:rsidRDefault="005B3673" w:rsidP="00B265F2">
      <w:pPr>
        <w:pStyle w:val="ListParagraph"/>
        <w:numPr>
          <w:ilvl w:val="1"/>
          <w:numId w:val="1"/>
        </w:numPr>
      </w:pPr>
      <w:r>
        <w:t>“</w:t>
      </w:r>
      <w:r w:rsidR="00DB474F">
        <w:t xml:space="preserve">Member </w:t>
      </w:r>
      <w:r>
        <w:t>Municipality”</w:t>
      </w:r>
      <w:r w:rsidR="00DB474F">
        <w:t xml:space="preserve"> means the municipalities that have adopted this Framework</w:t>
      </w:r>
      <w:r w:rsidR="00B87EBC">
        <w:t>,</w:t>
      </w:r>
      <w:r w:rsidR="00DB474F">
        <w:t xml:space="preserve"> </w:t>
      </w:r>
      <w:r w:rsidR="00797756">
        <w:t>and includes:</w:t>
      </w:r>
    </w:p>
    <w:p w14:paraId="11A7E6DE" w14:textId="77777777" w:rsidR="00797756" w:rsidRDefault="00797756" w:rsidP="00797756">
      <w:pPr>
        <w:pStyle w:val="ListParagraph"/>
        <w:numPr>
          <w:ilvl w:val="2"/>
          <w:numId w:val="1"/>
        </w:numPr>
      </w:pPr>
      <w:r>
        <w:t>Strathcona County; and</w:t>
      </w:r>
    </w:p>
    <w:p w14:paraId="71507C02" w14:textId="0A9A38AA" w:rsidR="005B3673" w:rsidRPr="00BE2380" w:rsidRDefault="00D371A6" w:rsidP="00797756">
      <w:pPr>
        <w:pStyle w:val="ListParagraph"/>
        <w:numPr>
          <w:ilvl w:val="2"/>
          <w:numId w:val="1"/>
        </w:numPr>
      </w:pPr>
      <w:r>
        <w:t>Beaver County</w:t>
      </w:r>
    </w:p>
    <w:p w14:paraId="37B23CC2" w14:textId="77777777" w:rsidR="00B87EBC" w:rsidRDefault="00B87EBC" w:rsidP="00B265F2">
      <w:pPr>
        <w:pStyle w:val="ListParagraph"/>
        <w:numPr>
          <w:ilvl w:val="1"/>
          <w:numId w:val="1"/>
        </w:numPr>
      </w:pPr>
      <w:r>
        <w:t xml:space="preserve">“MGA” means the </w:t>
      </w:r>
      <w:r>
        <w:rPr>
          <w:i/>
        </w:rPr>
        <w:t>Municipal Government Act</w:t>
      </w:r>
      <w:r>
        <w:t>, RSA 2000, c M-26;</w:t>
      </w:r>
    </w:p>
    <w:p w14:paraId="30B10983" w14:textId="5C4B1629" w:rsidR="0003036F" w:rsidRDefault="00B87EBC" w:rsidP="0003036F">
      <w:pPr>
        <w:pStyle w:val="ListParagraph"/>
        <w:numPr>
          <w:ilvl w:val="1"/>
          <w:numId w:val="1"/>
        </w:numPr>
      </w:pPr>
      <w:r>
        <w:t>“Municipal Office” has the same meaning as section 204 of the MGA;</w:t>
      </w:r>
    </w:p>
    <w:p w14:paraId="44AD6EB9" w14:textId="77777777" w:rsidR="00B265F2" w:rsidRDefault="00B87EBC" w:rsidP="00B265F2">
      <w:pPr>
        <w:pStyle w:val="ListParagraph"/>
        <w:numPr>
          <w:ilvl w:val="1"/>
          <w:numId w:val="1"/>
        </w:numPr>
      </w:pPr>
      <w:r>
        <w:t>“Strathcona County” means the municipal</w:t>
      </w:r>
      <w:r w:rsidR="003D09FC">
        <w:t xml:space="preserve"> corporation of Strathcona County</w:t>
      </w:r>
      <w:r w:rsidR="009323FD">
        <w:t>; and</w:t>
      </w:r>
    </w:p>
    <w:p w14:paraId="4C7D85E6" w14:textId="7AE6FBE7" w:rsidR="003D09FC" w:rsidRDefault="003D09FC" w:rsidP="00B265F2">
      <w:pPr>
        <w:pStyle w:val="ListParagraph"/>
        <w:numPr>
          <w:ilvl w:val="1"/>
          <w:numId w:val="1"/>
        </w:numPr>
      </w:pPr>
      <w:r>
        <w:t>“</w:t>
      </w:r>
      <w:r w:rsidR="00D371A6">
        <w:t>Beaver County</w:t>
      </w:r>
      <w:r>
        <w:t>” means the municipal corporation of</w:t>
      </w:r>
      <w:r w:rsidR="00CC0501">
        <w:t xml:space="preserve"> </w:t>
      </w:r>
      <w:r w:rsidR="00D371A6">
        <w:t>Beaver County</w:t>
      </w:r>
      <w:r w:rsidR="00AF55DD">
        <w:t>.</w:t>
      </w:r>
    </w:p>
    <w:p w14:paraId="0686A877" w14:textId="77777777" w:rsidR="00104933" w:rsidRPr="007B5402" w:rsidRDefault="00FF45EA" w:rsidP="00FF45EA">
      <w:pPr>
        <w:rPr>
          <w:b/>
          <w:bCs/>
        </w:rPr>
      </w:pPr>
      <w:r w:rsidRPr="007B5402">
        <w:rPr>
          <w:b/>
          <w:bCs/>
        </w:rPr>
        <w:t>Schedules</w:t>
      </w:r>
    </w:p>
    <w:p w14:paraId="76F9A3E3" w14:textId="27D1F4CE" w:rsidR="00B265F2" w:rsidRDefault="00B265F2" w:rsidP="00B265F2">
      <w:pPr>
        <w:pStyle w:val="ListParagraph"/>
        <w:numPr>
          <w:ilvl w:val="0"/>
          <w:numId w:val="1"/>
        </w:numPr>
      </w:pPr>
      <w:r>
        <w:t xml:space="preserve">The following </w:t>
      </w:r>
      <w:r w:rsidR="003D09FC">
        <w:t>schedule</w:t>
      </w:r>
      <w:r>
        <w:t xml:space="preserve"> </w:t>
      </w:r>
      <w:r w:rsidR="00DD46AD">
        <w:t>is</w:t>
      </w:r>
      <w:r>
        <w:t xml:space="preserve"> included as part of this Framework:</w:t>
      </w:r>
    </w:p>
    <w:p w14:paraId="058D6107" w14:textId="5F33C3FE" w:rsidR="005630B6" w:rsidRDefault="008B1710" w:rsidP="00CC5A07">
      <w:pPr>
        <w:pStyle w:val="ListParagraph"/>
        <w:numPr>
          <w:ilvl w:val="1"/>
          <w:numId w:val="1"/>
        </w:numPr>
      </w:pPr>
      <w:r>
        <w:t>Schedule</w:t>
      </w:r>
      <w:r w:rsidR="00B265F2">
        <w:t xml:space="preserve"> 1 –</w:t>
      </w:r>
      <w:r w:rsidR="005630B6">
        <w:t xml:space="preserve"> Delivery and Funding of Intermunicipal Services</w:t>
      </w:r>
    </w:p>
    <w:p w14:paraId="5FF2C11C" w14:textId="67C2EE2F" w:rsidR="009B79CA" w:rsidRDefault="009B79CA" w:rsidP="00CC5A07">
      <w:pPr>
        <w:pStyle w:val="ListParagraph"/>
        <w:numPr>
          <w:ilvl w:val="1"/>
          <w:numId w:val="1"/>
        </w:numPr>
      </w:pPr>
      <w:r>
        <w:t>Schedule 2 – Dispute Resolution Process</w:t>
      </w:r>
    </w:p>
    <w:p w14:paraId="6013CACF" w14:textId="77777777" w:rsidR="00B56714" w:rsidRPr="007B5402" w:rsidRDefault="00B56714" w:rsidP="00B56714">
      <w:pPr>
        <w:rPr>
          <w:b/>
          <w:bCs/>
        </w:rPr>
      </w:pPr>
      <w:r w:rsidRPr="007B5402">
        <w:rPr>
          <w:b/>
          <w:bCs/>
        </w:rPr>
        <w:t>Re-adopting the Framework</w:t>
      </w:r>
    </w:p>
    <w:p w14:paraId="7258489A" w14:textId="221A458D" w:rsidR="00B56714" w:rsidRDefault="00B56714" w:rsidP="00B56714">
      <w:pPr>
        <w:pStyle w:val="ListParagraph"/>
        <w:numPr>
          <w:ilvl w:val="0"/>
          <w:numId w:val="1"/>
        </w:numPr>
      </w:pPr>
      <w:r>
        <w:t xml:space="preserve">Any amendments to this Framework must be passed by adopting matching </w:t>
      </w:r>
      <w:r w:rsidR="00201E31">
        <w:t>resolutions</w:t>
      </w:r>
      <w:r>
        <w:t xml:space="preserve"> that: </w:t>
      </w:r>
    </w:p>
    <w:p w14:paraId="3FE6413E" w14:textId="77777777" w:rsidR="00B56714" w:rsidRDefault="00B56714" w:rsidP="00B56714">
      <w:pPr>
        <w:pStyle w:val="ListParagraph"/>
        <w:numPr>
          <w:ilvl w:val="1"/>
          <w:numId w:val="1"/>
        </w:numPr>
      </w:pPr>
      <w:r>
        <w:t>amend the Framework; or</w:t>
      </w:r>
    </w:p>
    <w:p w14:paraId="42A01DB5" w14:textId="5E5E3EE0" w:rsidR="00BE2380" w:rsidRDefault="00B56714" w:rsidP="00B56714">
      <w:pPr>
        <w:pStyle w:val="ListParagraph"/>
        <w:numPr>
          <w:ilvl w:val="1"/>
          <w:numId w:val="1"/>
        </w:numPr>
      </w:pPr>
      <w:r>
        <w:t>contain an amended Framework.</w:t>
      </w:r>
    </w:p>
    <w:p w14:paraId="6512D525" w14:textId="77777777" w:rsidR="00B56714" w:rsidRDefault="00B56714" w:rsidP="00B56714">
      <w:pPr>
        <w:pStyle w:val="ListParagraph"/>
        <w:ind w:left="1440"/>
      </w:pPr>
    </w:p>
    <w:p w14:paraId="1E87D02C" w14:textId="77777777" w:rsidR="00B56714" w:rsidRDefault="00B56714" w:rsidP="00B56714">
      <w:pPr>
        <w:pStyle w:val="ListParagraph"/>
        <w:numPr>
          <w:ilvl w:val="0"/>
          <w:numId w:val="1"/>
        </w:numPr>
      </w:pPr>
      <w:r>
        <w:t>This Framework may be re-adopted without changes by all Member Municipalities passing matching Council resolutions that re-adopt this Framework.</w:t>
      </w:r>
    </w:p>
    <w:p w14:paraId="5B49F8C1" w14:textId="77777777" w:rsidR="00B56714" w:rsidRDefault="00B56714" w:rsidP="00B56714">
      <w:pPr>
        <w:pStyle w:val="ListParagraph"/>
        <w:ind w:left="360"/>
      </w:pPr>
    </w:p>
    <w:p w14:paraId="3FD8FCF9" w14:textId="6CD6E44F" w:rsidR="006300D2" w:rsidRDefault="00B56714" w:rsidP="006300D2">
      <w:pPr>
        <w:pStyle w:val="ListParagraph"/>
        <w:numPr>
          <w:ilvl w:val="0"/>
          <w:numId w:val="1"/>
        </w:numPr>
      </w:pPr>
      <w:r>
        <w:t xml:space="preserve">If a Member Municipality proposes to amend or terminate the provision of any service that is provided on an intermunicipal basis in this Framework, that proposal must be adopted by the Councils of </w:t>
      </w:r>
      <w:r w:rsidR="00DD6F33">
        <w:t>both</w:t>
      </w:r>
      <w:r>
        <w:t xml:space="preserve"> participating </w:t>
      </w:r>
      <w:r w:rsidR="00201E31">
        <w:t>M</w:t>
      </w:r>
      <w:r>
        <w:t xml:space="preserve">ember </w:t>
      </w:r>
      <w:r w:rsidR="00201E31">
        <w:t>M</w:t>
      </w:r>
      <w:r>
        <w:t>unicipalities.</w:t>
      </w:r>
    </w:p>
    <w:p w14:paraId="026DB5C7" w14:textId="77777777" w:rsidR="006300D2" w:rsidRPr="007B5402" w:rsidRDefault="006300D2" w:rsidP="006300D2">
      <w:pPr>
        <w:rPr>
          <w:b/>
          <w:bCs/>
        </w:rPr>
      </w:pPr>
      <w:r w:rsidRPr="007B5402">
        <w:rPr>
          <w:b/>
          <w:bCs/>
        </w:rPr>
        <w:t>Term and Review of the Framework</w:t>
      </w:r>
    </w:p>
    <w:p w14:paraId="45E33430" w14:textId="32C55BC6" w:rsidR="006300D2" w:rsidRDefault="006300D2" w:rsidP="006300D2">
      <w:pPr>
        <w:pStyle w:val="ListParagraph"/>
        <w:numPr>
          <w:ilvl w:val="0"/>
          <w:numId w:val="1"/>
        </w:numPr>
      </w:pPr>
      <w:r>
        <w:t xml:space="preserve">This Framework must be reviewed </w:t>
      </w:r>
      <w:r w:rsidR="00175A79">
        <w:t xml:space="preserve">in good faith </w:t>
      </w:r>
      <w:r>
        <w:t>at least once every four (4) years.</w:t>
      </w:r>
    </w:p>
    <w:p w14:paraId="3855E550" w14:textId="77777777" w:rsidR="006300D2" w:rsidRDefault="006300D2" w:rsidP="006300D2">
      <w:pPr>
        <w:pStyle w:val="ListParagraph"/>
      </w:pPr>
    </w:p>
    <w:p w14:paraId="524B10AB" w14:textId="77777777" w:rsidR="006300D2" w:rsidRDefault="006300D2" w:rsidP="006300D2">
      <w:pPr>
        <w:pStyle w:val="ListParagraph"/>
        <w:numPr>
          <w:ilvl w:val="0"/>
          <w:numId w:val="1"/>
        </w:numPr>
      </w:pPr>
      <w:r>
        <w:t>In addition to any other reviews or discussions, a scheduled review must commence no later than the date that is six (6) months following each general municipal election, and the scheduled review must be complete prior to the date that is eighteen (18) months following the general municipal election.</w:t>
      </w:r>
    </w:p>
    <w:p w14:paraId="24CB4B76" w14:textId="77777777" w:rsidR="006300D2" w:rsidRDefault="006300D2" w:rsidP="006300D2">
      <w:pPr>
        <w:pStyle w:val="ListParagraph"/>
      </w:pPr>
    </w:p>
    <w:p w14:paraId="261AB174" w14:textId="0DD690E6" w:rsidR="006300D2" w:rsidRDefault="00AF55DD" w:rsidP="006300D2">
      <w:pPr>
        <w:pStyle w:val="ListParagraph"/>
        <w:numPr>
          <w:ilvl w:val="0"/>
          <w:numId w:val="1"/>
        </w:numPr>
      </w:pPr>
      <w:r>
        <w:t>E</w:t>
      </w:r>
      <w:r w:rsidR="006300D2">
        <w:t xml:space="preserve">ach Member Municipality shall appoint a representative or team of representatives to review the Framework, negotiate changes to the Framework, and provide recommendations to the </w:t>
      </w:r>
      <w:r>
        <w:t>municipality</w:t>
      </w:r>
      <w:r w:rsidR="006300D2">
        <w:t xml:space="preserve"> on </w:t>
      </w:r>
      <w:r w:rsidR="006300D2" w:rsidRPr="00874FF3">
        <w:t xml:space="preserve">all matters of strategic </w:t>
      </w:r>
      <w:r w:rsidR="006300D2">
        <w:t>planning, delivery, and funding of intermunicipal services</w:t>
      </w:r>
      <w:r w:rsidR="006300D2" w:rsidRPr="00874FF3">
        <w:t xml:space="preserve"> affecting </w:t>
      </w:r>
      <w:r w:rsidR="006300D2">
        <w:t>the Member M</w:t>
      </w:r>
      <w:r w:rsidR="006300D2" w:rsidRPr="00874FF3">
        <w:t>unicipalit</w:t>
      </w:r>
      <w:r w:rsidR="006300D2">
        <w:t>ies.</w:t>
      </w:r>
    </w:p>
    <w:p w14:paraId="691682D5" w14:textId="77777777" w:rsidR="006300D2" w:rsidRDefault="006300D2" w:rsidP="006300D2">
      <w:pPr>
        <w:pStyle w:val="ListParagraph"/>
      </w:pPr>
    </w:p>
    <w:p w14:paraId="1FA62176" w14:textId="314F6B52" w:rsidR="006300D2" w:rsidRDefault="006300D2" w:rsidP="006300D2">
      <w:pPr>
        <w:pStyle w:val="ListParagraph"/>
        <w:numPr>
          <w:ilvl w:val="0"/>
          <w:numId w:val="1"/>
        </w:numPr>
      </w:pPr>
      <w:r>
        <w:t xml:space="preserve">The </w:t>
      </w:r>
      <w:r w:rsidR="00AF55DD">
        <w:t>representative or team of representatives</w:t>
      </w:r>
      <w:r>
        <w:t xml:space="preserve"> of each Member Municipality will jointly </w:t>
      </w:r>
      <w:r w:rsidRPr="00874FF3">
        <w:t xml:space="preserve">be responsible for the </w:t>
      </w:r>
      <w:r>
        <w:t>negotiations</w:t>
      </w:r>
      <w:r w:rsidRPr="00874FF3">
        <w:t xml:space="preserve"> on all matters. </w:t>
      </w:r>
      <w:r>
        <w:t xml:space="preserve">The </w:t>
      </w:r>
      <w:r w:rsidR="00AF55DD">
        <w:t>representatives or team of representatives</w:t>
      </w:r>
      <w:r>
        <w:t xml:space="preserve"> </w:t>
      </w:r>
      <w:r w:rsidRPr="00874FF3">
        <w:t xml:space="preserve">will be responsible for </w:t>
      </w:r>
      <w:r>
        <w:t>presenting</w:t>
      </w:r>
      <w:r w:rsidRPr="00874FF3">
        <w:t xml:space="preserve"> all recommendations to their respective Councils</w:t>
      </w:r>
      <w:r>
        <w:t>, and for receiving instructions from their respective Councils, as required.</w:t>
      </w:r>
    </w:p>
    <w:p w14:paraId="435E7DEA" w14:textId="77777777" w:rsidR="00874FF3" w:rsidRPr="007B5402" w:rsidRDefault="001E2B15" w:rsidP="001E2B15">
      <w:pPr>
        <w:rPr>
          <w:b/>
          <w:bCs/>
        </w:rPr>
      </w:pPr>
      <w:r w:rsidRPr="007B5402">
        <w:rPr>
          <w:b/>
          <w:bCs/>
        </w:rPr>
        <w:t>Review Meetings</w:t>
      </w:r>
    </w:p>
    <w:p w14:paraId="1B114FE1" w14:textId="19CB534B" w:rsidR="00874FF3" w:rsidRDefault="005B3673" w:rsidP="00FF496B">
      <w:pPr>
        <w:pStyle w:val="ListParagraph"/>
        <w:numPr>
          <w:ilvl w:val="0"/>
          <w:numId w:val="1"/>
        </w:numPr>
      </w:pPr>
      <w:r>
        <w:t xml:space="preserve">A </w:t>
      </w:r>
      <w:r w:rsidR="001E2B15">
        <w:t>M</w:t>
      </w:r>
      <w:r w:rsidR="00797756">
        <w:t xml:space="preserve">ember </w:t>
      </w:r>
      <w:r w:rsidR="001E2B15">
        <w:t>M</w:t>
      </w:r>
      <w:r w:rsidR="00797756">
        <w:t xml:space="preserve">unicipality </w:t>
      </w:r>
      <w:r w:rsidR="00874FF3">
        <w:t>may request a meeting to discuss the term</w:t>
      </w:r>
      <w:r w:rsidR="00797756">
        <w:t>s of, interpretation of, and potential amendments to</w:t>
      </w:r>
      <w:r w:rsidR="00874FF3">
        <w:t xml:space="preserve"> this Framework by providing</w:t>
      </w:r>
      <w:r w:rsidR="00874FF3" w:rsidRPr="00874FF3">
        <w:rPr>
          <w:rFonts w:ascii="Verdana" w:hAnsi="Verdana"/>
          <w:color w:val="000000" w:themeColor="text1"/>
        </w:rPr>
        <w:t xml:space="preserve"> </w:t>
      </w:r>
      <w:r w:rsidR="00874FF3" w:rsidRPr="00874FF3">
        <w:t>no less than thirty (30) calendar days’ notice</w:t>
      </w:r>
      <w:r w:rsidR="00874FF3">
        <w:t xml:space="preserve"> </w:t>
      </w:r>
      <w:r>
        <w:t xml:space="preserve">to each other </w:t>
      </w:r>
      <w:r w:rsidR="001E2B15">
        <w:t>M</w:t>
      </w:r>
      <w:r w:rsidR="00797756">
        <w:t xml:space="preserve">ember </w:t>
      </w:r>
      <w:r w:rsidR="001E2B15">
        <w:t>M</w:t>
      </w:r>
      <w:r>
        <w:t>unicipality</w:t>
      </w:r>
      <w:r w:rsidR="005C0B9B">
        <w:t xml:space="preserve">’s CAO at the receiving municipality’s </w:t>
      </w:r>
      <w:r w:rsidR="001E2B15">
        <w:t>M</w:t>
      </w:r>
      <w:r w:rsidR="005C0B9B">
        <w:t xml:space="preserve">unicipal </w:t>
      </w:r>
      <w:r w:rsidR="001E2B15">
        <w:t>O</w:t>
      </w:r>
      <w:r w:rsidR="005C0B9B">
        <w:t>ffice</w:t>
      </w:r>
      <w:r w:rsidR="00874FF3">
        <w:t>,</w:t>
      </w:r>
      <w:r w:rsidR="00874FF3" w:rsidRPr="00874FF3">
        <w:t xml:space="preserve"> unless </w:t>
      </w:r>
      <w:r w:rsidR="00874FF3">
        <w:t xml:space="preserve">the </w:t>
      </w:r>
      <w:r w:rsidR="00C47238">
        <w:t>required</w:t>
      </w:r>
      <w:r w:rsidR="00874FF3">
        <w:t xml:space="preserve"> notice is waived</w:t>
      </w:r>
      <w:r w:rsidR="00874FF3" w:rsidRPr="00874FF3">
        <w:t xml:space="preserve"> by </w:t>
      </w:r>
      <w:r w:rsidR="00DD6F33">
        <w:t>both</w:t>
      </w:r>
      <w:r w:rsidR="00874FF3">
        <w:t xml:space="preserve"> </w:t>
      </w:r>
      <w:r w:rsidR="001E2B15">
        <w:t>M</w:t>
      </w:r>
      <w:r w:rsidR="00797756">
        <w:t xml:space="preserve">ember </w:t>
      </w:r>
      <w:r w:rsidR="001E2B15">
        <w:t>M</w:t>
      </w:r>
      <w:r w:rsidR="00797756">
        <w:t>unicipalities</w:t>
      </w:r>
      <w:r w:rsidR="00874FF3">
        <w:t>. The notice must include a proposed agenda</w:t>
      </w:r>
      <w:r w:rsidR="00797756">
        <w:t>, and</w:t>
      </w:r>
      <w:r w:rsidR="00874FF3">
        <w:t xml:space="preserve"> topics for discussion.</w:t>
      </w:r>
    </w:p>
    <w:p w14:paraId="0232245D" w14:textId="77777777" w:rsidR="001E2B15" w:rsidRDefault="001E2B15" w:rsidP="001E2B15">
      <w:pPr>
        <w:pStyle w:val="ListParagraph"/>
        <w:ind w:left="360"/>
      </w:pPr>
    </w:p>
    <w:p w14:paraId="58A9AB0C" w14:textId="657CB6E2" w:rsidR="001E2B15" w:rsidRDefault="001E2B15" w:rsidP="001E2B15">
      <w:pPr>
        <w:pStyle w:val="ListParagraph"/>
        <w:numPr>
          <w:ilvl w:val="0"/>
          <w:numId w:val="1"/>
        </w:numPr>
      </w:pPr>
      <w:r>
        <w:t xml:space="preserve">Following receipt of a request for a meeting, each Member Municipality will </w:t>
      </w:r>
      <w:r w:rsidR="00982281">
        <w:t xml:space="preserve">acknowledge and </w:t>
      </w:r>
      <w:r>
        <w:t xml:space="preserve">respond to the request within </w:t>
      </w:r>
      <w:r w:rsidR="00AF55DD">
        <w:t>fourteen</w:t>
      </w:r>
      <w:r>
        <w:t xml:space="preserve"> (</w:t>
      </w:r>
      <w:r w:rsidR="00AF55DD">
        <w:t>14</w:t>
      </w:r>
      <w:r>
        <w:t>) calendar days.</w:t>
      </w:r>
    </w:p>
    <w:p w14:paraId="0013CC19" w14:textId="675A42B5" w:rsidR="003C6B0B" w:rsidRPr="007B5402" w:rsidRDefault="00CA1C23" w:rsidP="003C6B0B">
      <w:pPr>
        <w:rPr>
          <w:b/>
          <w:bCs/>
        </w:rPr>
      </w:pPr>
      <w:r w:rsidRPr="007B5402">
        <w:rPr>
          <w:b/>
          <w:bCs/>
        </w:rPr>
        <w:t>Service Delivery</w:t>
      </w:r>
    </w:p>
    <w:p w14:paraId="42BE8F28" w14:textId="3B6E9F0A" w:rsidR="005C0B9B" w:rsidRDefault="008B1710" w:rsidP="00FA3C3F">
      <w:pPr>
        <w:pStyle w:val="ListParagraph"/>
        <w:numPr>
          <w:ilvl w:val="0"/>
          <w:numId w:val="1"/>
        </w:numPr>
      </w:pPr>
      <w:r>
        <w:t>Schedule</w:t>
      </w:r>
      <w:r w:rsidR="00CA1C23">
        <w:t xml:space="preserve"> 1</w:t>
      </w:r>
      <w:r w:rsidR="00FA3C3F">
        <w:t xml:space="preserve"> includes a listing of all services provided by one Member Municipality, and which benefit the residents in more than one Member Municipality</w:t>
      </w:r>
      <w:r w:rsidR="00CA1C23">
        <w:t>.</w:t>
      </w:r>
    </w:p>
    <w:p w14:paraId="050D46F2" w14:textId="77777777" w:rsidR="008B1710" w:rsidRDefault="008B1710" w:rsidP="008B1710">
      <w:pPr>
        <w:pStyle w:val="ListParagraph"/>
      </w:pPr>
    </w:p>
    <w:p w14:paraId="6967757F" w14:textId="0CC707D3" w:rsidR="008B1710" w:rsidRDefault="00FA3C3F" w:rsidP="005C0B9B">
      <w:pPr>
        <w:pStyle w:val="ListParagraph"/>
        <w:numPr>
          <w:ilvl w:val="0"/>
          <w:numId w:val="1"/>
        </w:numPr>
      </w:pPr>
      <w:r>
        <w:t>Schedule 1 also includes t</w:t>
      </w:r>
      <w:r w:rsidR="008B1710">
        <w:t xml:space="preserve">he delivery model, </w:t>
      </w:r>
      <w:r>
        <w:t xml:space="preserve">the funding, and </w:t>
      </w:r>
      <w:r w:rsidR="008B1710">
        <w:t xml:space="preserve">the </w:t>
      </w:r>
      <w:r w:rsidR="00D00101">
        <w:t>M</w:t>
      </w:r>
      <w:r w:rsidR="00797756">
        <w:t xml:space="preserve">ember </w:t>
      </w:r>
      <w:r w:rsidR="00D00101">
        <w:t>M</w:t>
      </w:r>
      <w:r w:rsidR="008B1710">
        <w:t>unicipal</w:t>
      </w:r>
      <w:r w:rsidR="00797756">
        <w:t>ity that will</w:t>
      </w:r>
      <w:r w:rsidR="008B1710">
        <w:t xml:space="preserve"> lead</w:t>
      </w:r>
      <w:r w:rsidR="00797756">
        <w:t xml:space="preserve"> in provision of </w:t>
      </w:r>
      <w:r>
        <w:t>each service listed in Schedule 1</w:t>
      </w:r>
      <w:r w:rsidR="008B1710">
        <w:t>.</w:t>
      </w:r>
    </w:p>
    <w:p w14:paraId="41138332" w14:textId="31D5BF0B" w:rsidR="004464F3" w:rsidRPr="007B5402" w:rsidRDefault="004464F3" w:rsidP="004464F3">
      <w:pPr>
        <w:rPr>
          <w:b/>
          <w:bCs/>
        </w:rPr>
      </w:pPr>
      <w:r w:rsidRPr="007B5402">
        <w:rPr>
          <w:b/>
          <w:bCs/>
        </w:rPr>
        <w:t>Dispute Resolution</w:t>
      </w:r>
      <w:r w:rsidR="009F74DA">
        <w:rPr>
          <w:b/>
          <w:bCs/>
        </w:rPr>
        <w:t xml:space="preserve"> Process</w:t>
      </w:r>
    </w:p>
    <w:p w14:paraId="249CEAE2" w14:textId="6BC0ADC2" w:rsidR="008B1710" w:rsidRDefault="009F74DA" w:rsidP="009F74DA">
      <w:pPr>
        <w:pStyle w:val="ListParagraph"/>
        <w:numPr>
          <w:ilvl w:val="0"/>
          <w:numId w:val="1"/>
        </w:numPr>
      </w:pPr>
      <w:r>
        <w:t>To satisfy Section 708.</w:t>
      </w:r>
      <w:r w:rsidR="00603756">
        <w:t>3</w:t>
      </w:r>
      <w:r>
        <w:t xml:space="preserve">5(1) of the MGA, the Member Municipalities agree to use the dispute resolution process outlined in </w:t>
      </w:r>
      <w:r w:rsidR="009B79CA">
        <w:t>Schedule 2</w:t>
      </w:r>
      <w:r w:rsidR="004464F3">
        <w:t>.</w:t>
      </w:r>
    </w:p>
    <w:p w14:paraId="32EBB226" w14:textId="77777777" w:rsidR="0070599F" w:rsidRDefault="0070599F" w:rsidP="0070599F">
      <w:pPr>
        <w:pStyle w:val="ListParagraph"/>
        <w:ind w:left="360"/>
      </w:pPr>
    </w:p>
    <w:p w14:paraId="171E31AD" w14:textId="77777777" w:rsidR="0070599F" w:rsidRDefault="0070599F" w:rsidP="005C0B9B">
      <w:pPr>
        <w:pStyle w:val="ListParagraph"/>
        <w:numPr>
          <w:ilvl w:val="0"/>
          <w:numId w:val="1"/>
        </w:numPr>
      </w:pPr>
      <w:r>
        <w:t>The dispute resolution process will be used for disputes with respect to:</w:t>
      </w:r>
    </w:p>
    <w:p w14:paraId="7C647377" w14:textId="77777777" w:rsidR="0070599F" w:rsidRDefault="0070599F" w:rsidP="0070599F">
      <w:pPr>
        <w:pStyle w:val="ListParagraph"/>
        <w:numPr>
          <w:ilvl w:val="1"/>
          <w:numId w:val="1"/>
        </w:numPr>
      </w:pPr>
      <w:r>
        <w:t>the interpretation, implementation, or application of the Framework; and</w:t>
      </w:r>
    </w:p>
    <w:p w14:paraId="51B2F0B7" w14:textId="337257CB" w:rsidR="004464F3" w:rsidRDefault="0070599F" w:rsidP="00DD46AD">
      <w:pPr>
        <w:pStyle w:val="ListParagraph"/>
        <w:numPr>
          <w:ilvl w:val="1"/>
          <w:numId w:val="1"/>
        </w:numPr>
      </w:pPr>
      <w:r>
        <w:t>any contravention, or alleged contravention, of the Framework.</w:t>
      </w:r>
      <w:r w:rsidR="004464F3">
        <w:br w:type="page"/>
      </w:r>
    </w:p>
    <w:p w14:paraId="57C33D56" w14:textId="25F7FB84" w:rsidR="0070599F" w:rsidRPr="001F67AB" w:rsidRDefault="0070599F" w:rsidP="001F67AB">
      <w:pPr>
        <w:spacing w:after="0"/>
        <w:jc w:val="center"/>
        <w:rPr>
          <w:b/>
        </w:rPr>
      </w:pPr>
      <w:r w:rsidRPr="001F67AB">
        <w:rPr>
          <w:b/>
        </w:rPr>
        <w:lastRenderedPageBreak/>
        <w:t>Schedule 1</w:t>
      </w:r>
    </w:p>
    <w:p w14:paraId="0D5131BF" w14:textId="5155244B" w:rsidR="00426301" w:rsidRPr="00426301" w:rsidRDefault="00426301" w:rsidP="00426301">
      <w:pPr>
        <w:spacing w:after="0"/>
        <w:jc w:val="center"/>
        <w:rPr>
          <w:b/>
        </w:rPr>
      </w:pPr>
      <w:r w:rsidRPr="00426301">
        <w:rPr>
          <w:b/>
        </w:rPr>
        <w:t>Delivery and Funding of Intermunicipal Services</w:t>
      </w:r>
    </w:p>
    <w:p w14:paraId="10D82C42" w14:textId="4E78541F" w:rsidR="00B766A3" w:rsidRDefault="00B766A3" w:rsidP="00FA3C3F"/>
    <w:tbl>
      <w:tblPr>
        <w:tblStyle w:val="TableGrid"/>
        <w:tblW w:w="0" w:type="auto"/>
        <w:tblLook w:val="04A0" w:firstRow="1" w:lastRow="0" w:firstColumn="1" w:lastColumn="0" w:noHBand="0" w:noVBand="1"/>
      </w:tblPr>
      <w:tblGrid>
        <w:gridCol w:w="3116"/>
        <w:gridCol w:w="3825"/>
        <w:gridCol w:w="2409"/>
      </w:tblGrid>
      <w:tr w:rsidR="00D371A6" w14:paraId="55066929" w14:textId="77777777" w:rsidTr="00682ECB">
        <w:tc>
          <w:tcPr>
            <w:tcW w:w="3116" w:type="dxa"/>
          </w:tcPr>
          <w:p w14:paraId="747F1438" w14:textId="77777777" w:rsidR="00D371A6" w:rsidRDefault="00D371A6" w:rsidP="00682ECB">
            <w:r>
              <w:t>Service</w:t>
            </w:r>
          </w:p>
        </w:tc>
        <w:tc>
          <w:tcPr>
            <w:tcW w:w="3825" w:type="dxa"/>
          </w:tcPr>
          <w:p w14:paraId="4A37A15A" w14:textId="77777777" w:rsidR="00D371A6" w:rsidRDefault="00D371A6" w:rsidP="00682ECB">
            <w:r>
              <w:t>Lead Municipality</w:t>
            </w:r>
          </w:p>
        </w:tc>
        <w:tc>
          <w:tcPr>
            <w:tcW w:w="2409" w:type="dxa"/>
          </w:tcPr>
          <w:p w14:paraId="5335E105" w14:textId="77777777" w:rsidR="00D371A6" w:rsidRDefault="00D371A6" w:rsidP="00682ECB">
            <w:r>
              <w:t>Funding Model</w:t>
            </w:r>
          </w:p>
        </w:tc>
      </w:tr>
      <w:tr w:rsidR="00D371A6" w14:paraId="40C75C8D" w14:textId="77777777" w:rsidTr="00682ECB">
        <w:tc>
          <w:tcPr>
            <w:tcW w:w="3116" w:type="dxa"/>
          </w:tcPr>
          <w:p w14:paraId="24B81C94" w14:textId="77777777" w:rsidR="00D371A6" w:rsidRDefault="00D371A6" w:rsidP="00682ECB">
            <w:r>
              <w:t>Beaver Hills Biosphere</w:t>
            </w:r>
          </w:p>
        </w:tc>
        <w:tc>
          <w:tcPr>
            <w:tcW w:w="3825" w:type="dxa"/>
          </w:tcPr>
          <w:p w14:paraId="462D248B" w14:textId="77777777" w:rsidR="00D371A6" w:rsidRDefault="00D371A6" w:rsidP="00682ECB">
            <w:r>
              <w:t>Strathcona County</w:t>
            </w:r>
          </w:p>
        </w:tc>
        <w:tc>
          <w:tcPr>
            <w:tcW w:w="2409" w:type="dxa"/>
          </w:tcPr>
          <w:p w14:paraId="4CDFCCF9" w14:textId="77777777" w:rsidR="00D371A6" w:rsidRDefault="00D371A6" w:rsidP="00682ECB">
            <w:r>
              <w:t>Invoiced annual funding</w:t>
            </w:r>
          </w:p>
        </w:tc>
      </w:tr>
      <w:tr w:rsidR="00D371A6" w14:paraId="25271E12" w14:textId="77777777" w:rsidTr="00682ECB">
        <w:tc>
          <w:tcPr>
            <w:tcW w:w="3116" w:type="dxa"/>
          </w:tcPr>
          <w:p w14:paraId="3FC37894" w14:textId="77777777" w:rsidR="00D371A6" w:rsidRDefault="00D371A6" w:rsidP="00682ECB">
            <w:r>
              <w:rPr>
                <w:color w:val="000000"/>
                <w:lang w:eastAsia="en-CA"/>
              </w:rPr>
              <w:t>Municipal Data Access License</w:t>
            </w:r>
          </w:p>
        </w:tc>
        <w:tc>
          <w:tcPr>
            <w:tcW w:w="3825" w:type="dxa"/>
          </w:tcPr>
          <w:p w14:paraId="48F5939E" w14:textId="77777777" w:rsidR="00D371A6" w:rsidRDefault="00D371A6" w:rsidP="00682ECB">
            <w:r>
              <w:t>Mutually Led</w:t>
            </w:r>
          </w:p>
        </w:tc>
        <w:tc>
          <w:tcPr>
            <w:tcW w:w="2409" w:type="dxa"/>
          </w:tcPr>
          <w:p w14:paraId="102CE3AD" w14:textId="77777777" w:rsidR="00D371A6" w:rsidRDefault="00D371A6" w:rsidP="00682ECB"/>
        </w:tc>
      </w:tr>
    </w:tbl>
    <w:p w14:paraId="002E6982" w14:textId="0F926204" w:rsidR="0052486A" w:rsidRDefault="0052486A">
      <w:r>
        <w:br w:type="page"/>
      </w:r>
    </w:p>
    <w:p w14:paraId="723A2880" w14:textId="3A5C25E0" w:rsidR="0052486A" w:rsidRPr="001F67AB" w:rsidRDefault="0052486A" w:rsidP="0052486A">
      <w:pPr>
        <w:spacing w:after="0"/>
        <w:jc w:val="center"/>
        <w:rPr>
          <w:b/>
        </w:rPr>
      </w:pPr>
      <w:r w:rsidRPr="001F67AB">
        <w:rPr>
          <w:b/>
        </w:rPr>
        <w:lastRenderedPageBreak/>
        <w:t xml:space="preserve">Schedule </w:t>
      </w:r>
      <w:r>
        <w:rPr>
          <w:b/>
        </w:rPr>
        <w:t>2</w:t>
      </w:r>
    </w:p>
    <w:p w14:paraId="3C30A505" w14:textId="4F26F484" w:rsidR="0052486A" w:rsidRDefault="0052486A" w:rsidP="0052486A">
      <w:pPr>
        <w:spacing w:after="0"/>
        <w:jc w:val="center"/>
        <w:rPr>
          <w:b/>
        </w:rPr>
      </w:pPr>
      <w:r>
        <w:rPr>
          <w:b/>
        </w:rPr>
        <w:t>Dispute Resolution Process</w:t>
      </w:r>
    </w:p>
    <w:p w14:paraId="247F41D3" w14:textId="410CF546" w:rsidR="0052486A" w:rsidRPr="0052486A" w:rsidRDefault="0052486A" w:rsidP="0052486A">
      <w:pPr>
        <w:spacing w:after="0"/>
        <w:jc w:val="center"/>
      </w:pPr>
    </w:p>
    <w:p w14:paraId="7BCBC8D2" w14:textId="77777777" w:rsidR="0052486A" w:rsidRPr="0052486A" w:rsidRDefault="0052486A" w:rsidP="0052486A">
      <w:pPr>
        <w:spacing w:after="0"/>
      </w:pPr>
      <w:r w:rsidRPr="0052486A">
        <w:t>Definitions</w:t>
      </w:r>
    </w:p>
    <w:p w14:paraId="53E40E95" w14:textId="77777777" w:rsidR="0052486A" w:rsidRPr="0052486A" w:rsidRDefault="0052486A" w:rsidP="0052486A">
      <w:pPr>
        <w:spacing w:after="0"/>
      </w:pPr>
    </w:p>
    <w:p w14:paraId="638B31B8" w14:textId="77777777" w:rsidR="0052486A" w:rsidRDefault="0052486A" w:rsidP="0052486A">
      <w:pPr>
        <w:pStyle w:val="ListParagraph"/>
        <w:numPr>
          <w:ilvl w:val="0"/>
          <w:numId w:val="32"/>
        </w:numPr>
        <w:spacing w:after="0"/>
      </w:pPr>
      <w:r w:rsidRPr="0052486A">
        <w:t>In this Schedule</w:t>
      </w:r>
      <w:r>
        <w:t>:</w:t>
      </w:r>
    </w:p>
    <w:p w14:paraId="1F1AE01C" w14:textId="7213E294" w:rsidR="0052486A" w:rsidRDefault="0052486A" w:rsidP="0052486A">
      <w:pPr>
        <w:pStyle w:val="ListParagraph"/>
        <w:numPr>
          <w:ilvl w:val="1"/>
          <w:numId w:val="32"/>
        </w:numPr>
        <w:spacing w:after="0"/>
      </w:pPr>
      <w:r w:rsidRPr="0052486A">
        <w:t xml:space="preserve">“initiating party” means a </w:t>
      </w:r>
      <w:r w:rsidR="00201E31">
        <w:t>Member Municipality</w:t>
      </w:r>
      <w:r w:rsidRPr="0052486A">
        <w:t xml:space="preserve"> who gives notice under section 2 of this Schedule;</w:t>
      </w:r>
    </w:p>
    <w:p w14:paraId="498DFE21" w14:textId="77777777" w:rsidR="0052486A" w:rsidRDefault="0052486A" w:rsidP="0052486A">
      <w:pPr>
        <w:pStyle w:val="ListParagraph"/>
        <w:numPr>
          <w:ilvl w:val="1"/>
          <w:numId w:val="32"/>
        </w:numPr>
        <w:spacing w:after="0"/>
      </w:pPr>
      <w:r w:rsidRPr="0052486A">
        <w:t>“mediation” means a process involving a neutral person as a mediator who assists the parties to a matter and any other person brought in with the agreement of the parties to reach their own mutually acceptable settlement of the matter by structuring negotiations, facilitating communication and identifying the issues and interests of the parties;</w:t>
      </w:r>
    </w:p>
    <w:p w14:paraId="084CF7DD" w14:textId="010C2256" w:rsidR="0052486A" w:rsidRPr="0052486A" w:rsidRDefault="0052486A" w:rsidP="0052486A">
      <w:pPr>
        <w:pStyle w:val="ListParagraph"/>
        <w:numPr>
          <w:ilvl w:val="1"/>
          <w:numId w:val="32"/>
        </w:numPr>
        <w:spacing w:after="0"/>
      </w:pPr>
      <w:r w:rsidRPr="0052486A">
        <w:t>“mediator” means the person or persons appointed to facilitate by mediation the resolution of a dispute between the parties.</w:t>
      </w:r>
    </w:p>
    <w:p w14:paraId="65AC9CE2" w14:textId="77777777" w:rsidR="0052486A" w:rsidRPr="0052486A" w:rsidRDefault="0052486A" w:rsidP="0052486A">
      <w:pPr>
        <w:spacing w:after="0"/>
      </w:pPr>
    </w:p>
    <w:p w14:paraId="2A0B79E5" w14:textId="77777777" w:rsidR="0052486A" w:rsidRPr="0052486A" w:rsidRDefault="0052486A" w:rsidP="0052486A">
      <w:pPr>
        <w:spacing w:after="0"/>
      </w:pPr>
      <w:r w:rsidRPr="0052486A">
        <w:t>Notice of dispute</w:t>
      </w:r>
    </w:p>
    <w:p w14:paraId="15502055" w14:textId="77777777" w:rsidR="0052486A" w:rsidRPr="0052486A" w:rsidRDefault="0052486A" w:rsidP="0052486A">
      <w:pPr>
        <w:spacing w:after="0"/>
      </w:pPr>
    </w:p>
    <w:p w14:paraId="3DF52410" w14:textId="7EF32D57" w:rsidR="0052486A" w:rsidRPr="0052486A" w:rsidRDefault="0052486A" w:rsidP="0052486A">
      <w:pPr>
        <w:pStyle w:val="ListParagraph"/>
        <w:numPr>
          <w:ilvl w:val="0"/>
          <w:numId w:val="32"/>
        </w:numPr>
        <w:spacing w:after="0"/>
      </w:pPr>
      <w:r w:rsidRPr="0052486A">
        <w:t xml:space="preserve">When a </w:t>
      </w:r>
      <w:r w:rsidR="00201E31">
        <w:t>Member Municipality</w:t>
      </w:r>
      <w:r w:rsidRPr="0052486A">
        <w:t xml:space="preserve"> believes there is a dispute under </w:t>
      </w:r>
      <w:r w:rsidR="00201E31">
        <w:t>this</w:t>
      </w:r>
      <w:r w:rsidRPr="0052486A">
        <w:t xml:space="preserve"> </w:t>
      </w:r>
      <w:r w:rsidR="00201E31">
        <w:t>F</w:t>
      </w:r>
      <w:r w:rsidRPr="0052486A">
        <w:t xml:space="preserve">ramework and wishes to engage in dispute resolution, the </w:t>
      </w:r>
      <w:r w:rsidR="00201E31">
        <w:t>Member Municipality</w:t>
      </w:r>
      <w:r w:rsidRPr="0052486A">
        <w:t xml:space="preserve"> must give written notice of the matters under dispute to </w:t>
      </w:r>
      <w:r w:rsidR="00DD6F33">
        <w:t>the</w:t>
      </w:r>
      <w:r w:rsidR="00201E31">
        <w:t xml:space="preserve"> o</w:t>
      </w:r>
      <w:r w:rsidRPr="0052486A">
        <w:t>th</w:t>
      </w:r>
      <w:r w:rsidR="00DD6F33">
        <w:t>er</w:t>
      </w:r>
      <w:r w:rsidRPr="0052486A">
        <w:t xml:space="preserve"> </w:t>
      </w:r>
      <w:r w:rsidR="00201E31">
        <w:t>Member Municipalit</w:t>
      </w:r>
      <w:r w:rsidR="00DD6F33">
        <w:t>y</w:t>
      </w:r>
      <w:r w:rsidRPr="0052486A">
        <w:t>.</w:t>
      </w:r>
    </w:p>
    <w:p w14:paraId="007542B9" w14:textId="77777777" w:rsidR="0052486A" w:rsidRPr="0052486A" w:rsidRDefault="0052486A" w:rsidP="0052486A">
      <w:pPr>
        <w:spacing w:after="0"/>
      </w:pPr>
    </w:p>
    <w:p w14:paraId="2D8D5C92" w14:textId="77777777" w:rsidR="0052486A" w:rsidRPr="0052486A" w:rsidRDefault="0052486A" w:rsidP="0052486A">
      <w:pPr>
        <w:spacing w:after="0"/>
      </w:pPr>
      <w:r w:rsidRPr="0052486A">
        <w:t>Negotiation</w:t>
      </w:r>
    </w:p>
    <w:p w14:paraId="23250AB5" w14:textId="77777777" w:rsidR="0052486A" w:rsidRPr="0052486A" w:rsidRDefault="0052486A" w:rsidP="0052486A">
      <w:pPr>
        <w:spacing w:after="0"/>
      </w:pPr>
    </w:p>
    <w:p w14:paraId="5F189389" w14:textId="3DB92D14" w:rsidR="0052486A" w:rsidRPr="0052486A" w:rsidRDefault="0052486A" w:rsidP="0052486A">
      <w:pPr>
        <w:pStyle w:val="ListParagraph"/>
        <w:numPr>
          <w:ilvl w:val="0"/>
          <w:numId w:val="32"/>
        </w:numPr>
        <w:spacing w:after="0"/>
      </w:pPr>
      <w:r w:rsidRPr="0052486A">
        <w:t xml:space="preserve">Within 14 days after the notice is given under section 2 of this Schedule, each </w:t>
      </w:r>
      <w:r w:rsidR="00201E31">
        <w:t>Member Municipality</w:t>
      </w:r>
      <w:r w:rsidRPr="0052486A">
        <w:t xml:space="preserve"> must appoint a representative to participate in one or more meetings, in person or by electronic means, to attempt to negotiate a resolution of the dispute.</w:t>
      </w:r>
    </w:p>
    <w:p w14:paraId="4CE0E5CB" w14:textId="77777777" w:rsidR="0052486A" w:rsidRPr="0052486A" w:rsidRDefault="0052486A" w:rsidP="0052486A">
      <w:pPr>
        <w:spacing w:after="0"/>
      </w:pPr>
    </w:p>
    <w:p w14:paraId="6ADC7802" w14:textId="77777777" w:rsidR="0052486A" w:rsidRPr="0052486A" w:rsidRDefault="0052486A" w:rsidP="0052486A">
      <w:pPr>
        <w:spacing w:after="0"/>
      </w:pPr>
      <w:r w:rsidRPr="0052486A">
        <w:t>Mediation</w:t>
      </w:r>
    </w:p>
    <w:p w14:paraId="26F4C7B5" w14:textId="77777777" w:rsidR="0052486A" w:rsidRPr="0052486A" w:rsidRDefault="0052486A" w:rsidP="0052486A">
      <w:pPr>
        <w:spacing w:after="0"/>
      </w:pPr>
    </w:p>
    <w:p w14:paraId="179E42A6" w14:textId="6D6357B9" w:rsidR="0052486A" w:rsidRPr="0052486A" w:rsidRDefault="0052486A" w:rsidP="0052486A">
      <w:pPr>
        <w:pStyle w:val="ListParagraph"/>
        <w:numPr>
          <w:ilvl w:val="0"/>
          <w:numId w:val="32"/>
        </w:numPr>
        <w:spacing w:after="0"/>
      </w:pPr>
      <w:r>
        <w:t xml:space="preserve">(1) </w:t>
      </w:r>
      <w:r w:rsidRPr="0052486A">
        <w:t xml:space="preserve">If the dispute cannot be resolved through negotiations, </w:t>
      </w:r>
      <w:r w:rsidR="00201E31">
        <w:t>each</w:t>
      </w:r>
      <w:r w:rsidR="00201E31" w:rsidRPr="00201E31">
        <w:t xml:space="preserve"> </w:t>
      </w:r>
      <w:r w:rsidR="00201E31">
        <w:t>Member Municipality</w:t>
      </w:r>
      <w:r w:rsidRPr="0052486A">
        <w:t xml:space="preserve"> </w:t>
      </w:r>
      <w:r w:rsidR="00201E31">
        <w:t xml:space="preserve">that is a party to the dispute </w:t>
      </w:r>
      <w:r w:rsidRPr="0052486A">
        <w:t>must appoint a mediator to attempt to resolve the dispute by mediation.</w:t>
      </w:r>
    </w:p>
    <w:p w14:paraId="2D6F9041" w14:textId="77777777" w:rsidR="0052486A" w:rsidRPr="0052486A" w:rsidRDefault="0052486A" w:rsidP="0052486A">
      <w:pPr>
        <w:spacing w:after="0"/>
      </w:pPr>
    </w:p>
    <w:p w14:paraId="2BFDDF10" w14:textId="7081558D" w:rsidR="0052486A" w:rsidRPr="0052486A" w:rsidRDefault="0052486A" w:rsidP="0052486A">
      <w:pPr>
        <w:spacing w:after="0"/>
        <w:ind w:left="360"/>
      </w:pPr>
      <w:r>
        <w:t xml:space="preserve">(2) </w:t>
      </w:r>
      <w:r w:rsidRPr="0052486A">
        <w:t>The initiating party must provide the mediator with an outline of the dispute and any agreed statement of facts.</w:t>
      </w:r>
    </w:p>
    <w:p w14:paraId="45632D4C" w14:textId="77777777" w:rsidR="0052486A" w:rsidRPr="0052486A" w:rsidRDefault="0052486A" w:rsidP="0052486A">
      <w:pPr>
        <w:spacing w:after="0"/>
      </w:pPr>
    </w:p>
    <w:p w14:paraId="08CD9734" w14:textId="320660B7" w:rsidR="0052486A" w:rsidRPr="0052486A" w:rsidRDefault="0052486A" w:rsidP="0052486A">
      <w:pPr>
        <w:spacing w:after="0"/>
        <w:ind w:left="360"/>
      </w:pPr>
      <w:r w:rsidRPr="0052486A">
        <w:t>(3)</w:t>
      </w:r>
      <w:r>
        <w:t xml:space="preserve"> </w:t>
      </w:r>
      <w:r w:rsidRPr="0052486A">
        <w:t>The parties must give the mediator access to all records, documents and information that the mediator may reasonably request.</w:t>
      </w:r>
    </w:p>
    <w:p w14:paraId="522E4A28" w14:textId="77777777" w:rsidR="0052486A" w:rsidRPr="0052486A" w:rsidRDefault="0052486A" w:rsidP="0052486A">
      <w:pPr>
        <w:spacing w:after="0"/>
      </w:pPr>
    </w:p>
    <w:p w14:paraId="54DFB713" w14:textId="6002F640" w:rsidR="0052486A" w:rsidRPr="0052486A" w:rsidRDefault="0052486A" w:rsidP="0052486A">
      <w:pPr>
        <w:spacing w:after="0"/>
        <w:ind w:left="360"/>
      </w:pPr>
      <w:r w:rsidRPr="0052486A">
        <w:t>(4) The parties must meet with the mediator at such reasonable times as may be required and must, through the intervention of the mediator, negotiate in good faith to resolve their dispute.</w:t>
      </w:r>
    </w:p>
    <w:p w14:paraId="257F25E0" w14:textId="77777777" w:rsidR="0052486A" w:rsidRPr="0052486A" w:rsidRDefault="0052486A" w:rsidP="0052486A">
      <w:pPr>
        <w:spacing w:after="0"/>
      </w:pPr>
    </w:p>
    <w:p w14:paraId="19DCD147" w14:textId="6FA6D565" w:rsidR="0052486A" w:rsidRPr="0052486A" w:rsidRDefault="0052486A" w:rsidP="0052486A">
      <w:pPr>
        <w:spacing w:after="0"/>
        <w:ind w:left="360"/>
      </w:pPr>
      <w:r w:rsidRPr="0052486A">
        <w:t>(5) All proceedings involving a mediator are without prejudice, and, unless the parties agree otherwise, the cost of the mediator must be shared equally between the parties.</w:t>
      </w:r>
    </w:p>
    <w:p w14:paraId="2EB2AB06" w14:textId="77777777" w:rsidR="0052486A" w:rsidRPr="0052486A" w:rsidRDefault="0052486A" w:rsidP="0052486A">
      <w:pPr>
        <w:spacing w:after="0"/>
      </w:pPr>
      <w:r w:rsidRPr="0052486A">
        <w:lastRenderedPageBreak/>
        <w:t>Report</w:t>
      </w:r>
    </w:p>
    <w:p w14:paraId="1757C313" w14:textId="77777777" w:rsidR="0052486A" w:rsidRPr="0052486A" w:rsidRDefault="0052486A" w:rsidP="0052486A">
      <w:pPr>
        <w:spacing w:after="0"/>
      </w:pPr>
    </w:p>
    <w:p w14:paraId="1CE364BB" w14:textId="27500F13" w:rsidR="0052486A" w:rsidRPr="0052486A" w:rsidRDefault="0052486A" w:rsidP="0052486A">
      <w:pPr>
        <w:pStyle w:val="ListParagraph"/>
        <w:numPr>
          <w:ilvl w:val="0"/>
          <w:numId w:val="32"/>
        </w:numPr>
        <w:spacing w:after="0"/>
      </w:pPr>
      <w:r>
        <w:t xml:space="preserve">(1) </w:t>
      </w:r>
      <w:r w:rsidRPr="0052486A">
        <w:t>If the dispute has not been resolved within 6 months after the notice is given under section 2 of this Schedule, the initiating party must, within 21 days, prepare and provide to the other parties a report.</w:t>
      </w:r>
    </w:p>
    <w:p w14:paraId="5A9C0F95" w14:textId="77777777" w:rsidR="0052486A" w:rsidRPr="0052486A" w:rsidRDefault="0052486A" w:rsidP="0052486A">
      <w:pPr>
        <w:spacing w:after="0"/>
      </w:pPr>
    </w:p>
    <w:p w14:paraId="300EA311" w14:textId="455F0F43" w:rsidR="0052486A" w:rsidRPr="0052486A" w:rsidRDefault="0052486A" w:rsidP="0052486A">
      <w:pPr>
        <w:spacing w:after="0"/>
        <w:ind w:left="360"/>
      </w:pPr>
      <w:r w:rsidRPr="0052486A">
        <w:t>(2) Without limiting the generality of subsection (1), the report must contain a list of the matters agreed on and those on which there is no agreement between the parties.</w:t>
      </w:r>
    </w:p>
    <w:p w14:paraId="3C929825" w14:textId="77777777" w:rsidR="0052486A" w:rsidRPr="0052486A" w:rsidRDefault="0052486A" w:rsidP="0052486A">
      <w:pPr>
        <w:spacing w:after="0"/>
      </w:pPr>
    </w:p>
    <w:p w14:paraId="5EE39C88" w14:textId="0DF75443" w:rsidR="0052486A" w:rsidRPr="0052486A" w:rsidRDefault="0052486A" w:rsidP="0052486A">
      <w:pPr>
        <w:spacing w:after="0"/>
        <w:ind w:left="360"/>
      </w:pPr>
      <w:r w:rsidRPr="0052486A">
        <w:t>(3) Despite subsection (1), the initiating party may prepare a report under subsection (1) before the 6 months have elapsed if</w:t>
      </w:r>
    </w:p>
    <w:p w14:paraId="3AF36C2F" w14:textId="77777777" w:rsidR="0052486A" w:rsidRDefault="0052486A" w:rsidP="0052486A">
      <w:pPr>
        <w:pStyle w:val="ListParagraph"/>
        <w:numPr>
          <w:ilvl w:val="1"/>
          <w:numId w:val="32"/>
        </w:numPr>
        <w:spacing w:after="0"/>
        <w:ind w:left="1080"/>
      </w:pPr>
      <w:r w:rsidRPr="0052486A">
        <w:t>the parties agree</w:t>
      </w:r>
      <w:r>
        <w:t>;</w:t>
      </w:r>
      <w:r w:rsidRPr="0052486A">
        <w:t xml:space="preserve"> o</w:t>
      </w:r>
      <w:r>
        <w:t>r</w:t>
      </w:r>
    </w:p>
    <w:p w14:paraId="7DC6F95C" w14:textId="59DC9462" w:rsidR="0052486A" w:rsidRDefault="0052486A" w:rsidP="0052486A">
      <w:pPr>
        <w:pStyle w:val="ListParagraph"/>
        <w:numPr>
          <w:ilvl w:val="1"/>
          <w:numId w:val="32"/>
        </w:numPr>
        <w:spacing w:after="0"/>
        <w:ind w:left="1080"/>
      </w:pPr>
      <w:r w:rsidRPr="0052486A">
        <w:t>the parties are not able to appoint a mediator under section 4 of this Schedule.</w:t>
      </w:r>
    </w:p>
    <w:p w14:paraId="7E3551B5" w14:textId="3C76A822" w:rsidR="0052486A" w:rsidRDefault="0052486A" w:rsidP="0052486A">
      <w:pPr>
        <w:pStyle w:val="ListParagraph"/>
        <w:spacing w:after="0"/>
        <w:ind w:left="360"/>
      </w:pPr>
    </w:p>
    <w:p w14:paraId="2F1CF3C0" w14:textId="1F4EEE38" w:rsidR="000B6EC0" w:rsidRDefault="000B6EC0" w:rsidP="000B6EC0">
      <w:pPr>
        <w:spacing w:after="0"/>
      </w:pPr>
      <w:r>
        <w:t>Arbitration</w:t>
      </w:r>
    </w:p>
    <w:p w14:paraId="4C3297C0" w14:textId="77777777" w:rsidR="000B6EC0" w:rsidRDefault="000B6EC0" w:rsidP="0052486A">
      <w:pPr>
        <w:pStyle w:val="ListParagraph"/>
        <w:spacing w:after="0"/>
        <w:ind w:left="360"/>
      </w:pPr>
    </w:p>
    <w:p w14:paraId="4DDBC23C" w14:textId="256426AD" w:rsidR="0052486A" w:rsidRDefault="002C4269" w:rsidP="0052486A">
      <w:pPr>
        <w:pStyle w:val="ListParagraph"/>
        <w:numPr>
          <w:ilvl w:val="0"/>
          <w:numId w:val="32"/>
        </w:numPr>
        <w:spacing w:after="0"/>
      </w:pPr>
      <w:r>
        <w:t xml:space="preserve">(1) Within 14 days of a report being provided under section 5 of this Schedule, the </w:t>
      </w:r>
      <w:r w:rsidR="00201E31">
        <w:t>Member Municipality</w:t>
      </w:r>
      <w:r w:rsidR="000B6EC0">
        <w:t xml:space="preserve"> </w:t>
      </w:r>
      <w:r w:rsidR="00201E31">
        <w:t xml:space="preserve">that are parties to the dispute </w:t>
      </w:r>
      <w:r w:rsidR="000B6EC0">
        <w:t>must appoint an arbitrator</w:t>
      </w:r>
      <w:r w:rsidR="00201E31">
        <w:t>,</w:t>
      </w:r>
      <w:r w:rsidR="000B6EC0">
        <w:t xml:space="preserve"> and the initiating party must provide the arbitrator with a copy of the report.</w:t>
      </w:r>
    </w:p>
    <w:p w14:paraId="6BCB54E1" w14:textId="04E8FD5A" w:rsidR="000B6EC0" w:rsidRDefault="000B6EC0" w:rsidP="000B6EC0">
      <w:pPr>
        <w:spacing w:after="0"/>
      </w:pPr>
    </w:p>
    <w:p w14:paraId="42730EA3" w14:textId="1DDBEDF8" w:rsidR="000B6EC0" w:rsidRDefault="000B6EC0" w:rsidP="000B6EC0">
      <w:pPr>
        <w:pStyle w:val="ListParagraph"/>
        <w:spacing w:after="0"/>
        <w:ind w:left="360"/>
      </w:pPr>
      <w:r>
        <w:t xml:space="preserve">(2) </w:t>
      </w:r>
      <w:r w:rsidRPr="000B6EC0">
        <w:t xml:space="preserve">Where arbitration is used to resolve a dispute, the arbitration and arbitrator’s powers, duties, functions, practices and procedures shall be the same as those in Division </w:t>
      </w:r>
      <w:r w:rsidR="008A0C8B">
        <w:t>2</w:t>
      </w:r>
      <w:r w:rsidRPr="000B6EC0">
        <w:t xml:space="preserve"> of Part 17.2 of the </w:t>
      </w:r>
      <w:r>
        <w:t>MGA.</w:t>
      </w:r>
    </w:p>
    <w:p w14:paraId="3E5FD053" w14:textId="77777777" w:rsidR="000B6EC0" w:rsidRDefault="000B6EC0" w:rsidP="000B6EC0">
      <w:pPr>
        <w:pStyle w:val="ListParagraph"/>
      </w:pPr>
    </w:p>
    <w:p w14:paraId="61A2D204" w14:textId="4F079568" w:rsidR="000B6EC0" w:rsidRDefault="000B6EC0" w:rsidP="000B6EC0">
      <w:pPr>
        <w:pStyle w:val="ListParagraph"/>
        <w:spacing w:after="0"/>
        <w:ind w:left="360"/>
      </w:pPr>
      <w:r>
        <w:t xml:space="preserve">(3) Where an arbitrator’s power, duties, functions, practices, and procedures are not clear or defined in the Framework or in the MGA, </w:t>
      </w:r>
      <w:r w:rsidR="00201E31">
        <w:t xml:space="preserve">or where the parties are unable to appoint an arbitrator, </w:t>
      </w:r>
      <w:r>
        <w:t xml:space="preserve">the arbitrator’s powers, duties, functions, practices, and procedures will be those set out in the </w:t>
      </w:r>
      <w:r>
        <w:rPr>
          <w:i/>
        </w:rPr>
        <w:t>Arbitration Act</w:t>
      </w:r>
      <w:r>
        <w:t>, RSA 2000, c A-43.</w:t>
      </w:r>
    </w:p>
    <w:sectPr w:rsidR="000B6EC0" w:rsidSect="0052486A">
      <w:pgSz w:w="12240" w:h="15840"/>
      <w:pgMar w:top="1296" w:right="1440" w:bottom="129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FAD6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6465E"/>
    <w:multiLevelType w:val="multilevel"/>
    <w:tmpl w:val="816C9BFE"/>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upperRoman"/>
      <w:lvlText w:val="(%4)"/>
      <w:lvlJc w:val="left"/>
      <w:pPr>
        <w:ind w:left="2520" w:hanging="360"/>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44028CB"/>
    <w:multiLevelType w:val="multilevel"/>
    <w:tmpl w:val="1850F50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353D9B"/>
    <w:multiLevelType w:val="multilevel"/>
    <w:tmpl w:val="C01C9D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65B2F"/>
    <w:multiLevelType w:val="hybridMultilevel"/>
    <w:tmpl w:val="EC16C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6A1C8A"/>
    <w:multiLevelType w:val="multilevel"/>
    <w:tmpl w:val="BD9C7A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8F36C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671C6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727FF9"/>
    <w:multiLevelType w:val="hybridMultilevel"/>
    <w:tmpl w:val="787CC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F33D4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9F2646"/>
    <w:multiLevelType w:val="hybridMultilevel"/>
    <w:tmpl w:val="24FC54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A31D4D"/>
    <w:multiLevelType w:val="multilevel"/>
    <w:tmpl w:val="C01C9D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1D3BC5"/>
    <w:multiLevelType w:val="hybridMultilevel"/>
    <w:tmpl w:val="B232CB06"/>
    <w:lvl w:ilvl="0" w:tplc="BCD496B2">
      <w:numFmt w:val="bullet"/>
      <w:lvlText w:val="-"/>
      <w:lvlJc w:val="left"/>
      <w:pPr>
        <w:ind w:left="405" w:hanging="360"/>
      </w:pPr>
      <w:rPr>
        <w:rFonts w:ascii="Calibri" w:eastAsiaTheme="minorHAnsi"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3" w15:restartNumberingAfterBreak="0">
    <w:nsid w:val="2E9A1085"/>
    <w:multiLevelType w:val="hybridMultilevel"/>
    <w:tmpl w:val="DA50D1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694FFF"/>
    <w:multiLevelType w:val="multilevel"/>
    <w:tmpl w:val="F8A0BE8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C923F5"/>
    <w:multiLevelType w:val="multilevel"/>
    <w:tmpl w:val="F6C0E1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E1A3EAB"/>
    <w:multiLevelType w:val="multilevel"/>
    <w:tmpl w:val="E8C0A3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74741"/>
    <w:multiLevelType w:val="multilevel"/>
    <w:tmpl w:val="FA6EE31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3C637D6"/>
    <w:multiLevelType w:val="hybridMultilevel"/>
    <w:tmpl w:val="8DE03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823F2F"/>
    <w:multiLevelType w:val="multilevel"/>
    <w:tmpl w:val="AD1A71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75679C3"/>
    <w:multiLevelType w:val="multilevel"/>
    <w:tmpl w:val="C01C9D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D61607"/>
    <w:multiLevelType w:val="hybridMultilevel"/>
    <w:tmpl w:val="DA50D1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633466"/>
    <w:multiLevelType w:val="multilevel"/>
    <w:tmpl w:val="C01C9D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7B1074"/>
    <w:multiLevelType w:val="multilevel"/>
    <w:tmpl w:val="1850F50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2A70FBB"/>
    <w:multiLevelType w:val="multilevel"/>
    <w:tmpl w:val="AD1A71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3617554"/>
    <w:multiLevelType w:val="multilevel"/>
    <w:tmpl w:val="C01C9D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7E68F5"/>
    <w:multiLevelType w:val="multilevel"/>
    <w:tmpl w:val="AD1A71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F214DA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4C4A4C"/>
    <w:multiLevelType w:val="multilevel"/>
    <w:tmpl w:val="C01C9D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B9510A"/>
    <w:multiLevelType w:val="hybridMultilevel"/>
    <w:tmpl w:val="780856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027758"/>
    <w:multiLevelType w:val="multilevel"/>
    <w:tmpl w:val="C01C9D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334BE5"/>
    <w:multiLevelType w:val="multilevel"/>
    <w:tmpl w:val="C01C9D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A364EE"/>
    <w:multiLevelType w:val="hybridMultilevel"/>
    <w:tmpl w:val="B258460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5"/>
  </w:num>
  <w:num w:numId="2">
    <w:abstractNumId w:val="10"/>
  </w:num>
  <w:num w:numId="3">
    <w:abstractNumId w:val="18"/>
  </w:num>
  <w:num w:numId="4">
    <w:abstractNumId w:val="8"/>
  </w:num>
  <w:num w:numId="5">
    <w:abstractNumId w:val="5"/>
  </w:num>
  <w:num w:numId="6">
    <w:abstractNumId w:val="0"/>
  </w:num>
  <w:num w:numId="7">
    <w:abstractNumId w:val="6"/>
  </w:num>
  <w:num w:numId="8">
    <w:abstractNumId w:val="9"/>
  </w:num>
  <w:num w:numId="9">
    <w:abstractNumId w:val="7"/>
  </w:num>
  <w:num w:numId="10">
    <w:abstractNumId w:val="27"/>
  </w:num>
  <w:num w:numId="11">
    <w:abstractNumId w:val="12"/>
  </w:num>
  <w:num w:numId="12">
    <w:abstractNumId w:val="21"/>
  </w:num>
  <w:num w:numId="13">
    <w:abstractNumId w:val="23"/>
  </w:num>
  <w:num w:numId="14">
    <w:abstractNumId w:val="16"/>
  </w:num>
  <w:num w:numId="15">
    <w:abstractNumId w:val="20"/>
  </w:num>
  <w:num w:numId="16">
    <w:abstractNumId w:val="28"/>
  </w:num>
  <w:num w:numId="17">
    <w:abstractNumId w:val="11"/>
  </w:num>
  <w:num w:numId="18">
    <w:abstractNumId w:val="3"/>
  </w:num>
  <w:num w:numId="19">
    <w:abstractNumId w:val="4"/>
  </w:num>
  <w:num w:numId="20">
    <w:abstractNumId w:val="29"/>
  </w:num>
  <w:num w:numId="21">
    <w:abstractNumId w:val="32"/>
  </w:num>
  <w:num w:numId="22">
    <w:abstractNumId w:val="19"/>
  </w:num>
  <w:num w:numId="23">
    <w:abstractNumId w:val="24"/>
  </w:num>
  <w:num w:numId="24">
    <w:abstractNumId w:val="26"/>
  </w:num>
  <w:num w:numId="25">
    <w:abstractNumId w:val="17"/>
  </w:num>
  <w:num w:numId="26">
    <w:abstractNumId w:val="15"/>
  </w:num>
  <w:num w:numId="27">
    <w:abstractNumId w:val="13"/>
  </w:num>
  <w:num w:numId="28">
    <w:abstractNumId w:val="30"/>
  </w:num>
  <w:num w:numId="29">
    <w:abstractNumId w:val="1"/>
  </w:num>
  <w:num w:numId="30">
    <w:abstractNumId w:val="14"/>
  </w:num>
  <w:num w:numId="31">
    <w:abstractNumId w:val="2"/>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F2"/>
    <w:rsid w:val="0003036F"/>
    <w:rsid w:val="00057222"/>
    <w:rsid w:val="000B5361"/>
    <w:rsid w:val="000B6EC0"/>
    <w:rsid w:val="000C4F53"/>
    <w:rsid w:val="000F7C72"/>
    <w:rsid w:val="00104933"/>
    <w:rsid w:val="00104AD4"/>
    <w:rsid w:val="0014127A"/>
    <w:rsid w:val="00146A83"/>
    <w:rsid w:val="00175A79"/>
    <w:rsid w:val="0018104D"/>
    <w:rsid w:val="001C6DC9"/>
    <w:rsid w:val="001E2B15"/>
    <w:rsid w:val="001E5A67"/>
    <w:rsid w:val="001F67AB"/>
    <w:rsid w:val="00201E31"/>
    <w:rsid w:val="00221F5E"/>
    <w:rsid w:val="002229A9"/>
    <w:rsid w:val="00253277"/>
    <w:rsid w:val="002551DA"/>
    <w:rsid w:val="00266D51"/>
    <w:rsid w:val="00296691"/>
    <w:rsid w:val="002B54BA"/>
    <w:rsid w:val="002C4269"/>
    <w:rsid w:val="00313BBB"/>
    <w:rsid w:val="00321F3A"/>
    <w:rsid w:val="00344657"/>
    <w:rsid w:val="003C6B0B"/>
    <w:rsid w:val="003D09FC"/>
    <w:rsid w:val="0041691A"/>
    <w:rsid w:val="00426301"/>
    <w:rsid w:val="004464F3"/>
    <w:rsid w:val="00462FFF"/>
    <w:rsid w:val="00496C26"/>
    <w:rsid w:val="004C35EC"/>
    <w:rsid w:val="005071C9"/>
    <w:rsid w:val="0052486A"/>
    <w:rsid w:val="005630B6"/>
    <w:rsid w:val="00566B01"/>
    <w:rsid w:val="005A7F4C"/>
    <w:rsid w:val="005B3673"/>
    <w:rsid w:val="005B63AF"/>
    <w:rsid w:val="005C0B9B"/>
    <w:rsid w:val="00603756"/>
    <w:rsid w:val="00622F2D"/>
    <w:rsid w:val="006300D2"/>
    <w:rsid w:val="007021C8"/>
    <w:rsid w:val="0070599F"/>
    <w:rsid w:val="007452EF"/>
    <w:rsid w:val="00797756"/>
    <w:rsid w:val="007B5402"/>
    <w:rsid w:val="008631A1"/>
    <w:rsid w:val="00874FF3"/>
    <w:rsid w:val="008A0C8B"/>
    <w:rsid w:val="008B1710"/>
    <w:rsid w:val="00907A89"/>
    <w:rsid w:val="009323FD"/>
    <w:rsid w:val="0096215B"/>
    <w:rsid w:val="00982281"/>
    <w:rsid w:val="00997D26"/>
    <w:rsid w:val="009B210F"/>
    <w:rsid w:val="009B79CA"/>
    <w:rsid w:val="009C79AB"/>
    <w:rsid w:val="009E0F3B"/>
    <w:rsid w:val="009F6986"/>
    <w:rsid w:val="009F74DA"/>
    <w:rsid w:val="00AD1B07"/>
    <w:rsid w:val="00AD4A32"/>
    <w:rsid w:val="00AD5628"/>
    <w:rsid w:val="00AE4B31"/>
    <w:rsid w:val="00AF55DD"/>
    <w:rsid w:val="00B265F2"/>
    <w:rsid w:val="00B314B1"/>
    <w:rsid w:val="00B47EB3"/>
    <w:rsid w:val="00B56714"/>
    <w:rsid w:val="00B62AFC"/>
    <w:rsid w:val="00B641C3"/>
    <w:rsid w:val="00B766A3"/>
    <w:rsid w:val="00B87EBC"/>
    <w:rsid w:val="00B9772F"/>
    <w:rsid w:val="00BC3148"/>
    <w:rsid w:val="00BD7FED"/>
    <w:rsid w:val="00BE2380"/>
    <w:rsid w:val="00C11C29"/>
    <w:rsid w:val="00C26266"/>
    <w:rsid w:val="00C47238"/>
    <w:rsid w:val="00CA1C23"/>
    <w:rsid w:val="00CA31F7"/>
    <w:rsid w:val="00CA537D"/>
    <w:rsid w:val="00CC0501"/>
    <w:rsid w:val="00CC35FF"/>
    <w:rsid w:val="00CE35EF"/>
    <w:rsid w:val="00D00101"/>
    <w:rsid w:val="00D032A3"/>
    <w:rsid w:val="00D22590"/>
    <w:rsid w:val="00D340CC"/>
    <w:rsid w:val="00D371A6"/>
    <w:rsid w:val="00D6037D"/>
    <w:rsid w:val="00DB474F"/>
    <w:rsid w:val="00DB7ECA"/>
    <w:rsid w:val="00DD3531"/>
    <w:rsid w:val="00DD46AD"/>
    <w:rsid w:val="00DD6F33"/>
    <w:rsid w:val="00DF14A6"/>
    <w:rsid w:val="00E30921"/>
    <w:rsid w:val="00E42F91"/>
    <w:rsid w:val="00EC3F15"/>
    <w:rsid w:val="00F113D0"/>
    <w:rsid w:val="00F91897"/>
    <w:rsid w:val="00FA3C3F"/>
    <w:rsid w:val="00FB3367"/>
    <w:rsid w:val="00FF3AD5"/>
    <w:rsid w:val="00FF45EA"/>
    <w:rsid w:val="00FF49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006D"/>
  <w15:docId w15:val="{3B0A6541-FD9C-41F1-A8C7-536639FF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65F2"/>
    <w:pPr>
      <w:ind w:left="720"/>
      <w:contextualSpacing/>
    </w:pPr>
  </w:style>
  <w:style w:type="character" w:styleId="CommentReference">
    <w:name w:val="annotation reference"/>
    <w:basedOn w:val="DefaultParagraphFont"/>
    <w:uiPriority w:val="99"/>
    <w:semiHidden/>
    <w:unhideWhenUsed/>
    <w:rsid w:val="00622F2D"/>
    <w:rPr>
      <w:sz w:val="16"/>
      <w:szCs w:val="16"/>
    </w:rPr>
  </w:style>
  <w:style w:type="paragraph" w:styleId="CommentText">
    <w:name w:val="annotation text"/>
    <w:basedOn w:val="Normal"/>
    <w:link w:val="CommentTextChar"/>
    <w:uiPriority w:val="99"/>
    <w:semiHidden/>
    <w:unhideWhenUsed/>
    <w:rsid w:val="00622F2D"/>
    <w:pPr>
      <w:spacing w:line="240" w:lineRule="auto"/>
    </w:pPr>
    <w:rPr>
      <w:sz w:val="20"/>
      <w:szCs w:val="20"/>
    </w:rPr>
  </w:style>
  <w:style w:type="character" w:customStyle="1" w:styleId="CommentTextChar">
    <w:name w:val="Comment Text Char"/>
    <w:basedOn w:val="DefaultParagraphFont"/>
    <w:link w:val="CommentText"/>
    <w:uiPriority w:val="99"/>
    <w:semiHidden/>
    <w:rsid w:val="00622F2D"/>
    <w:rPr>
      <w:sz w:val="20"/>
      <w:szCs w:val="20"/>
    </w:rPr>
  </w:style>
  <w:style w:type="paragraph" w:styleId="CommentSubject">
    <w:name w:val="annotation subject"/>
    <w:basedOn w:val="CommentText"/>
    <w:next w:val="CommentText"/>
    <w:link w:val="CommentSubjectChar"/>
    <w:uiPriority w:val="99"/>
    <w:semiHidden/>
    <w:unhideWhenUsed/>
    <w:rsid w:val="00622F2D"/>
    <w:rPr>
      <w:b/>
      <w:bCs/>
    </w:rPr>
  </w:style>
  <w:style w:type="character" w:customStyle="1" w:styleId="CommentSubjectChar">
    <w:name w:val="Comment Subject Char"/>
    <w:basedOn w:val="CommentTextChar"/>
    <w:link w:val="CommentSubject"/>
    <w:uiPriority w:val="99"/>
    <w:semiHidden/>
    <w:rsid w:val="00622F2D"/>
    <w:rPr>
      <w:b/>
      <w:bCs/>
      <w:sz w:val="20"/>
      <w:szCs w:val="20"/>
    </w:rPr>
  </w:style>
  <w:style w:type="paragraph" w:styleId="BalloonText">
    <w:name w:val="Balloon Text"/>
    <w:basedOn w:val="Normal"/>
    <w:link w:val="BalloonTextChar"/>
    <w:uiPriority w:val="99"/>
    <w:semiHidden/>
    <w:unhideWhenUsed/>
    <w:rsid w:val="00622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2D"/>
    <w:rPr>
      <w:rFonts w:ascii="Tahoma" w:hAnsi="Tahoma" w:cs="Tahoma"/>
      <w:sz w:val="16"/>
      <w:szCs w:val="16"/>
    </w:rPr>
  </w:style>
  <w:style w:type="paragraph" w:styleId="ListBullet">
    <w:name w:val="List Bullet"/>
    <w:basedOn w:val="Normal"/>
    <w:uiPriority w:val="99"/>
    <w:unhideWhenUsed/>
    <w:rsid w:val="00E42F91"/>
    <w:pPr>
      <w:numPr>
        <w:numId w:val="6"/>
      </w:numPr>
      <w:contextualSpacing/>
    </w:pPr>
  </w:style>
  <w:style w:type="table" w:styleId="TableGrid">
    <w:name w:val="Table Grid"/>
    <w:basedOn w:val="TableNormal"/>
    <w:uiPriority w:val="59"/>
    <w:rsid w:val="001C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6645">
      <w:bodyDiv w:val="1"/>
      <w:marLeft w:val="0"/>
      <w:marRight w:val="0"/>
      <w:marTop w:val="0"/>
      <w:marBottom w:val="0"/>
      <w:divBdr>
        <w:top w:val="none" w:sz="0" w:space="0" w:color="auto"/>
        <w:left w:val="none" w:sz="0" w:space="0" w:color="auto"/>
        <w:bottom w:val="none" w:sz="0" w:space="0" w:color="auto"/>
        <w:right w:val="none" w:sz="0" w:space="0" w:color="auto"/>
      </w:divBdr>
    </w:div>
    <w:div w:id="432626772">
      <w:bodyDiv w:val="1"/>
      <w:marLeft w:val="0"/>
      <w:marRight w:val="0"/>
      <w:marTop w:val="0"/>
      <w:marBottom w:val="0"/>
      <w:divBdr>
        <w:top w:val="none" w:sz="0" w:space="0" w:color="auto"/>
        <w:left w:val="none" w:sz="0" w:space="0" w:color="auto"/>
        <w:bottom w:val="none" w:sz="0" w:space="0" w:color="auto"/>
        <w:right w:val="none" w:sz="0" w:space="0" w:color="auto"/>
      </w:divBdr>
    </w:div>
    <w:div w:id="656492253">
      <w:bodyDiv w:val="1"/>
      <w:marLeft w:val="0"/>
      <w:marRight w:val="0"/>
      <w:marTop w:val="0"/>
      <w:marBottom w:val="0"/>
      <w:divBdr>
        <w:top w:val="none" w:sz="0" w:space="0" w:color="auto"/>
        <w:left w:val="none" w:sz="0" w:space="0" w:color="auto"/>
        <w:bottom w:val="none" w:sz="0" w:space="0" w:color="auto"/>
        <w:right w:val="none" w:sz="0" w:space="0" w:color="auto"/>
      </w:divBdr>
    </w:div>
    <w:div w:id="657465870">
      <w:bodyDiv w:val="1"/>
      <w:marLeft w:val="0"/>
      <w:marRight w:val="0"/>
      <w:marTop w:val="0"/>
      <w:marBottom w:val="0"/>
      <w:divBdr>
        <w:top w:val="none" w:sz="0" w:space="0" w:color="auto"/>
        <w:left w:val="none" w:sz="0" w:space="0" w:color="auto"/>
        <w:bottom w:val="none" w:sz="0" w:space="0" w:color="auto"/>
        <w:right w:val="none" w:sz="0" w:space="0" w:color="auto"/>
      </w:divBdr>
    </w:div>
    <w:div w:id="759838632">
      <w:bodyDiv w:val="1"/>
      <w:marLeft w:val="0"/>
      <w:marRight w:val="0"/>
      <w:marTop w:val="0"/>
      <w:marBottom w:val="0"/>
      <w:divBdr>
        <w:top w:val="none" w:sz="0" w:space="0" w:color="auto"/>
        <w:left w:val="none" w:sz="0" w:space="0" w:color="auto"/>
        <w:bottom w:val="none" w:sz="0" w:space="0" w:color="auto"/>
        <w:right w:val="none" w:sz="0" w:space="0" w:color="auto"/>
      </w:divBdr>
    </w:div>
    <w:div w:id="1003119735">
      <w:bodyDiv w:val="1"/>
      <w:marLeft w:val="0"/>
      <w:marRight w:val="0"/>
      <w:marTop w:val="0"/>
      <w:marBottom w:val="0"/>
      <w:divBdr>
        <w:top w:val="none" w:sz="0" w:space="0" w:color="auto"/>
        <w:left w:val="none" w:sz="0" w:space="0" w:color="auto"/>
        <w:bottom w:val="none" w:sz="0" w:space="0" w:color="auto"/>
        <w:right w:val="none" w:sz="0" w:space="0" w:color="auto"/>
      </w:divBdr>
    </w:div>
    <w:div w:id="1409842473">
      <w:bodyDiv w:val="1"/>
      <w:marLeft w:val="0"/>
      <w:marRight w:val="0"/>
      <w:marTop w:val="0"/>
      <w:marBottom w:val="0"/>
      <w:divBdr>
        <w:top w:val="none" w:sz="0" w:space="0" w:color="auto"/>
        <w:left w:val="none" w:sz="0" w:space="0" w:color="auto"/>
        <w:bottom w:val="none" w:sz="0" w:space="0" w:color="auto"/>
        <w:right w:val="none" w:sz="0" w:space="0" w:color="auto"/>
      </w:divBdr>
    </w:div>
    <w:div w:id="14281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F6DF2CCD984083A546B99A1BE119" ma:contentTypeVersion="5" ma:contentTypeDescription="Create a new document." ma:contentTypeScope="" ma:versionID="a4cd495ad9662f0ffa2bf9f9964136e4">
  <xsd:schema xmlns:xsd="http://www.w3.org/2001/XMLSchema" xmlns:xs="http://www.w3.org/2001/XMLSchema" xmlns:p="http://schemas.microsoft.com/office/2006/metadata/properties" xmlns:ns3="afd297d6-63c6-45f1-916c-3b9d772106af" xmlns:ns4="f29f56b9-5cde-4326-a312-c115c691ea01" targetNamespace="http://schemas.microsoft.com/office/2006/metadata/properties" ma:root="true" ma:fieldsID="edfc3d4018d164f16b969a0b6c1ead49" ns3:_="" ns4:_="">
    <xsd:import namespace="afd297d6-63c6-45f1-916c-3b9d772106af"/>
    <xsd:import namespace="f29f56b9-5cde-4326-a312-c115c691ea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297d6-63c6-45f1-916c-3b9d77210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9f56b9-5cde-4326-a312-c115c691ea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BBF0-4A0F-4768-954C-33A85AD84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297d6-63c6-45f1-916c-3b9d772106af"/>
    <ds:schemaRef ds:uri="f29f56b9-5cde-4326-a312-c115c691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73DA2-20C1-413A-9A7F-82B169859DEB}">
  <ds:schemaRefs>
    <ds:schemaRef ds:uri="http://schemas.microsoft.com/sharepoint/v3/contenttype/forms"/>
  </ds:schemaRefs>
</ds:datastoreItem>
</file>

<file path=customXml/itemProps3.xml><?xml version="1.0" encoding="utf-8"?>
<ds:datastoreItem xmlns:ds="http://schemas.openxmlformats.org/officeDocument/2006/customXml" ds:itemID="{68CF7C5A-4CEF-4D56-A361-24CA78187370}">
  <ds:schemaRefs>
    <ds:schemaRef ds:uri="afd297d6-63c6-45f1-916c-3b9d772106af"/>
    <ds:schemaRef ds:uri="http://schemas.microsoft.com/office/2006/documentManagement/types"/>
    <ds:schemaRef ds:uri="http://purl.org/dc/elements/1.1/"/>
    <ds:schemaRef ds:uri="http://purl.org/dc/dcmitype/"/>
    <ds:schemaRef ds:uri="http://www.w3.org/XML/1998/namespace"/>
    <ds:schemaRef ds:uri="f29f56b9-5cde-4326-a312-c115c691ea01"/>
    <ds:schemaRef ds:uri="http://schemas.microsoft.com/office/2006/metadata/properties"/>
    <ds:schemaRef ds:uri="http://schemas.microsoft.com/office/infopath/2007/PartnerControl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D3F42C52-0A92-4044-ACD4-79D6B9B4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Strathcona County</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Snider</dc:creator>
  <cp:lastModifiedBy>Marg</cp:lastModifiedBy>
  <cp:revision>2</cp:revision>
  <cp:lastPrinted>2019-05-23T20:01:00Z</cp:lastPrinted>
  <dcterms:created xsi:type="dcterms:W3CDTF">2020-02-24T17:32:00Z</dcterms:created>
  <dcterms:modified xsi:type="dcterms:W3CDTF">2020-02-24T17:32:00Z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0x0101008148F6DF2CCD984083A546B99A1BE119</vt:lpwstr>
  </property>
</Properties>
</file>